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t xml:space="preserve"/>
      </w:r>
    </w:p>
    <w:p>
      <w:r>
        <w:t xml:space="preserve"/>
      </w:r>
    </w:p>
    <w:p>
      <w:r>
        <w:t xml:space="preserve"/>
      </w:r>
    </w:p>
    <w:p>
      <w:r>
        <w:t xml:space="preserve"/>
      </w:r>
    </w:p>
    <w:p>
      <w:pPr>
        <w:spacing w:after="40" w:before="0"/>
        <w:jc w:val="center"/>
      </w:pPr>
      <w:r>
        <w:rPr>
          <w:rFonts w:ascii="Arial" w:cs="Arial" w:eastAsia="Arial" w:hAnsi="Arial"/>
          <w:b/>
          <w:bCs/>
          <w:color w:val="1B3A4B"/>
          <w:sz w:val="72"/>
          <w:szCs w:val="72"/>
        </w:rPr>
        <w:t xml:space="preserve">INVEETAIRE</w:t>
      </w:r>
    </w:p>
    <w:p>
      <w:pPr>
        <w:pBdr>
          <w:bottom w:val="single" w:color="C9A84C" w:sz="12" w:space="8"/>
        </w:pBdr>
        <w:spacing w:after="80" w:before="0"/>
        <w:jc w:val="center"/>
      </w:pPr>
      <w:r>
        <w:rPr>
          <w:rFonts w:ascii="Arial" w:cs="Arial" w:eastAsia="Arial" w:hAnsi="Arial"/>
          <w:color w:val="C9A84C"/>
          <w:sz w:val="36"/>
          <w:szCs w:val="36"/>
        </w:rPr>
        <w:t xml:space="preserve">Wedding Management Platform</w:t>
      </w:r>
    </w:p>
    <w:p>
      <w:r>
        <w:t xml:space="preserve"/>
      </w:r>
    </w:p>
    <w:p>
      <w:r>
        <w:t xml:space="preserve"/>
      </w:r>
    </w:p>
    <w:p>
      <w:pPr>
        <w:jc w:val="center"/>
      </w:pPr>
      <w:r>
        <w:rPr>
          <w:rFonts w:ascii="Arial" w:cs="Arial" w:eastAsia="Arial" w:hAnsi="Arial"/>
          <w:b/>
          <w:bCs/>
          <w:color w:val="4A6274"/>
          <w:sz w:val="32"/>
          <w:szCs w:val="32"/>
        </w:rPr>
        <w:t xml:space="preserve">ARCHITECTURE DECISION RECORDS</w:t>
      </w:r>
    </w:p>
    <w:p>
      <w:pPr>
        <w:jc w:val="center"/>
      </w:pPr>
      <w:r>
        <w:rPr>
          <w:rFonts w:ascii="Arial" w:cs="Arial" w:eastAsia="Arial" w:hAnsi="Arial"/>
          <w:b/>
          <w:bCs/>
          <w:color w:val="4A6274"/>
          <w:sz w:val="24"/>
          <w:szCs w:val="24"/>
        </w:rPr>
        <w:t xml:space="preserve">Version 1.0  —  ADR-001 through ADR-025</w:t>
      </w:r>
    </w:p>
    <w:p>
      <w:pPr>
        <w:spacing w:after="0" w:before="40"/>
        <w:jc w:val="center"/>
      </w:pPr>
      <w:r>
        <w:rPr>
          <w:rFonts w:ascii="Arial" w:cs="Arial" w:eastAsia="Arial" w:hAnsi="Arial"/>
          <w:i/>
          <w:iCs/>
          <w:color w:val="4A6274"/>
          <w:sz w:val="22"/>
          <w:szCs w:val="22"/>
        </w:rPr>
        <w:t xml:space="preserve">The Official Architectural History of the Inveetaire Platform</w:t>
      </w:r>
    </w:p>
    <w:p>
      <w:r>
        <w:t xml:space="preserve"/>
      </w:r>
    </w:p>
    <w:p>
      <w:r>
        <w:t xml:space="preserve"/>
      </w:r>
    </w:p>
    <w:p>
      <w:r>
        <w:t xml:space="preserve"/>
      </w:r>
    </w:p>
    <w:tbl>
      <w:tblPr>
        <w:tblW w:type="dxa" w:w="6000"/>
        <w:tblBorders>
          <w:top w:val="single" w:color="auto" w:sz="4"/>
          <w:left w:val="single" w:color="auto" w:sz="4"/>
          <w:bottom w:val="single" w:color="auto" w:sz="4"/>
          <w:right w:val="single" w:color="auto" w:sz="4"/>
          <w:insideH w:val="single" w:color="auto" w:sz="4"/>
          <w:insideV w:val="single" w:color="auto" w:sz="4"/>
        </w:tblBorders>
      </w:tblPr>
      <w:tblGrid>
        <w:gridCol w:w="2400"/>
        <w:gridCol w:w="360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Type</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Architecture Decision Records (ADR)</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Version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1.0 — Initial Record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Total ADRs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25 decisions — ADR-001 through ADR-025</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Based On</w:t>
            </w:r>
          </w:p>
        </w:tc>
        <w:tc>
          <w:tcPr>
            <w:tcW w:type="dxa" w:w="36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PRD v1.1 · SAD v1.1 · DDD v1.1 · DBP v1.0 · PDD v1.0</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All Statuses</w:t>
            </w:r>
          </w:p>
        </w:tc>
        <w:tc>
          <w:tcPr>
            <w:tcW w:type="dxa" w:w="36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20"/>
                <w:szCs w:val="20"/>
              </w:rPr>
              <w:t xml:space="preserve">ACCEPTED</w:t>
            </w:r>
          </w:p>
        </w:tc>
      </w:tr>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Document Status</w:t>
            </w:r>
          </w:p>
        </w:tc>
        <w:tc>
          <w:tcPr>
            <w:tcW w:type="dxa" w:w="36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Draft — Pending Review</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PURPOSE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This document captures every major architectural decision made during the design of Inveetaire. It is NOT a specification. It is a historical record explaining WHY decisions were made, what alternatives were considered, and why those alternatives were rejected. Every future developer and AI assistant must consult this document before proposing any architectural change.</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ADR Index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2400"/>
        <w:gridCol w:w="5760"/>
      </w:tblGrid>
      <w:tr>
        <w:tc>
          <w:tcPr>
            <w:tcW w:type="dxa" w:w="12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ADR</w:t>
            </w:r>
          </w:p>
        </w:tc>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Status</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Title</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ADR-001</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Native PHP Instead of Laravel</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ADR-002</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Shared Hosting is the Primary Deployment Target</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ADR-003</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Modular Architecture Was Chosen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ADR-004</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MySQL/MariaDB First, PostgreSQL Later</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ADR-005</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Multi-Tenant Workspace Architecture</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ADR-006</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Guests Have No User Account</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ADR-007</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Invitation Uses One Permanent URL</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ADR-008</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Theme Versioning Exists</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ADR-009</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Couple Cannot Design Their Own Layout</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ADR-010</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Event Crew Has a Separate Role</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ADR-011</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Guest Timeline is Append-Only</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ADR-012</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Vendor Module is Not an Accounting System</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ADR-013</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QR Check-in Uses Webcam Instead of Dedicated Scanner</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ADR-014</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WhatsApp Integration Starts Manual</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ADR-015</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Offline Resilience is Mandatory</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ADR-016</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Setup Mode and Execution Mode are Separated</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ADR-017</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Workspace Lifecycle Exists</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ADR-018</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Package Determines Modules, Not Pricing</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ADR-019</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One Invitation Exists Per Workspace</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ADR-020</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Business Logic Lives in Services</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ADR-021</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Controllers Must Remain Thin</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ADR-022</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Views Must Never Access the Database Directly</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ADR-023</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Soft Delete is Preferred Over Hard Delete</w:t>
            </w:r>
          </w:p>
        </w:tc>
      </w:tr>
      <w:tr>
        <w:tc>
          <w:tcPr>
            <w:tcW w:type="dxa" w:w="12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ADR-024</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Every Operational Table Contains workspace_id</w:t>
            </w:r>
          </w:p>
        </w:tc>
      </w:tr>
      <w:tr>
        <w:tc>
          <w:tcPr>
            <w:tcW w:type="dxa" w:w="12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Courier New" w:cs="Courier New" w:eastAsia="Courier New" w:hAnsi="Courier New"/>
                <w:b w:val="false"/>
                <w:bCs w:val="false"/>
                <w:i w:val="false"/>
                <w:iCs w:val="false"/>
                <w:color w:val="2C2C2C"/>
                <w:sz w:val="18"/>
                <w:szCs w:val="18"/>
              </w:rPr>
              <w:t xml:space="preserve">ADR-025</w:t>
            </w:r>
          </w:p>
        </w:tc>
        <w:tc>
          <w:tcPr>
            <w:tcW w:type="dxa" w:w="24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left"/>
            </w:pPr>
            <w:r>
              <w:rPr>
                <w:rFonts w:ascii="Arial" w:cs="Arial" w:eastAsia="Arial" w:hAnsi="Arial"/>
                <w:b/>
                <w:bCs/>
                <w:i w:val="false"/>
                <w:iCs w:val="false"/>
                <w:color w:val="1B5E20"/>
                <w:sz w:val="18"/>
                <w:szCs w:val="18"/>
              </w:rPr>
              <w:t xml:space="preserve">ACCEPTED</w:t>
            </w:r>
          </w:p>
        </w:tc>
        <w:tc>
          <w:tcPr>
            <w:tcW w:type="dxa" w:w="57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Why Audit Log and Guest Timeline are Separate Concepts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ADR-001</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Native PHP Instead of Laravel</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Native PHP 7.4 is the correct technical choice for this deployment environment. It is not a compromise — it is the right tool for the right job at this stage.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MVP must deploy on cPanel shared hosting in Indonesia. The primary hosting provider (Rumahweb) offers PHP natively without requiring framework installation, Node.js, Docker, or VPS-level control.</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Laravel requires Composer, a CLI environment, and specific server configuration that is not reliably available on shared hosting. Using Laravel at MVP would block deployment or require a more expensive hosting tier before the product has validated market fit.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Native PHP 7.4 for the MVP. Adopt a module architecture that mirrors Laravel's conventions — Controllers, Services, Models, Middleware — so the migration path is structural rather than conceptual.</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Laravel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Mature framework, built-in auth, routing, ORM, migrations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Requires Composer CLI, VPS or cloud hosting, adds significant setup overhead before first deployment on shared hosting</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Symfony</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Highly modular, enterprise-grade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Same deployment constraints as Laravel. Overkill for MVP scope.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CodeIgniter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Lightweight, shared-hosting friendly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Less architectural discipline enforced. Migration to Laravel harder due to different conventions.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Slim / Lumen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Minimal micro-framework</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Still requires Composer. Lacks the convention structure needed to mirror Laravel for future migration.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PHP code is written with Laravel migration in mind: module classes map to Laravel service classes, routes map to Laravel route groups, session handling maps to Laravel auth guards. The migration is a structural upgrade, not a rewrite.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shared hosting constraints are outgrown, Laravel is introduced module by module. The first module migrated does not require the others to change.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ADR-002</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Shared Hosting is the Primary Deployment Target</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Shared hosting is not a technical limitation — it is the correct deployment choice for a pre-revenue product in this market. The architecture preserves all future upgrade options.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founding team is based in Indonesia and is targeting the Indonesian wedding market. The most accessible, affordable, and operationally simple hosting option for an early-stage SaaS in this market is cPanel shared hosting (Rumahweb and similar providers).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VPS and cloud hosting require significantly higher operational overhead: server hardening, database administration, deployment pipelines, and ongoing DevOps attention. At MVP, this overhead would slow product development without a proven customer base to justify the cost.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Deploy on cPanel shared hosting for MVP. Build the application to be stateless and environment-agnostic so that migration to VPS or cloud requires only server provisioning and DNS changes — no application code changes.</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DigitalOcean VPS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control, better performance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Requires DevOps knowledge, server maintenance, and higher monthly cost before product-market fit is established</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AWS / Google Cloud</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Scalable, global infrastructure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Significantly higher operational complexity and cost. Inappropriate for a pre-revenue MVP.</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Heroku / Render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Managed PaaS, easy deploy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Expensive at scale. Vendor lock-in. Not available or affordable in Indonesian market at startup stage.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application decision avoids shared-hosting-incompatible technology: no Redis, no WebSocket servers, no queue workers, no Docker, no Node.js runtime. The architecture is designed so that none of these are needed at MVP scale.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product grows beyond shared hosting capacity, the migration to a VPS or cloud provider is a server-side operation. The application does not change. Environment variables are updated. DNS is pointed to the new server.</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ADR-003</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Modular Architecture Was Chosen</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Modular architecture is the single most important structural decision in the codebase. It is the foundation that makes every other future decision possible.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covers five distinct operational domains: guest management, invitation, vendor tracking, wedding day operations, and communication. These domains have different owners, different lifecycles, and different future migration timelines.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monolithic architecture with no module boundaries would cause all five domains to become entangled over time. Changes to guest logic would risk breaking vendor logic. Migrating one domain to a new framework would require migrating all of them simultaneously.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Organize the codebase into independent modules — one per operational domain. Each module owns its Controller, Service, Model, Views, Validator, and Routes. Modules communicate only through service interfaces, never through direct database cross-access.</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Flat MVC (no modules)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initial structure, fast to start</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Degrades into spaghetti architecture as the codebase grows. No natural seam for future migration.</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Microservices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isolation, independent deployment</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Extreme overhead for an MVP. Requires service discovery, API gateways, distributed tracing. Wrong scale.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Domain-Driven Design (strict)</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Rich domain modeling</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Significant upfront complexity. DDD discipline requires a mature team and a well-understood domain before implementation.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module is independently testable and independently migratable. When Laravel is introduced, one module is migrated at a time. The Guest module can move to Laravel while the Vendor module still runs in Native PHP — because they share no internals.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New features are always added to an existing module or require a new module with an ADR. No code lives outside a module boundary. This discipline must be enforced at code review.</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ADR-004</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MySQL/MariaDB First, PostgreSQL Later</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MariaDB is a capable production database for this scale. The constraint is hosting, not capability. The migration path is clear and documented.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shared hosting environment mandates MySQL or MariaDB. cPanel hosting providers include MySQL by default. PostgreSQL is not available on shared hosting without special arrangement.</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application needs a relational database from day one. Choosing a database engine incompatible with shared hosting would block deployment.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MariaDB/MySQL for MVP. Write all SQL using ANSI-compatible syntax. Choose data types with PostgreSQL equivalents in mind. Store no logic in stored procedures or triggers — all business logic stays in the application layer.</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PostgreSQL from day one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Superior JSON support, better concurrency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available on cPanel shared hosting. Cannot deploy.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SQLite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Zero config, file-based</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appropriate for a multi-user web application with concurrent writes.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MongoDB / NoSQL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Flexible schema</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data model is deeply relational. NoSQL would require denormalization and application-level joins. Wrong tool.</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column type decision documents its PostgreSQL equivalent. DATETIME instead of TIMESTAMP (avoids MySQL timezone auto-conversion). VARCHAR status columns instead of ENUM (ENUM is painful to ALTER in MySQL). No stored procedures or triggers. The migration to PostgreSQL is a data transfer operation, not a query rewrite.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PostgreSQL migration is planned for the Laravel migration phase. The same effort that moves the framework also moves the database engine. Both migrations happen together when cloud hosting is adopted.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ADR-005</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Multi-Tenant Workspace Architecture</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Single-database multi-tenancy is the standard approach for SaaS at this scale. It is secure, operationally simple, and fully migratable.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serves multiple couples simultaneously. Each couple's data must be completely isolated from every other couple's data. Wedding data is sensitive and personal — guest lists, budgets, and vendor relationships must never be visible across couple boundaries.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Multi-tenancy can be implemented in three ways: separate databases per tenant, separate schemas per tenant, or shared database with tenant isolation by column. The correct choice depends on scale, hosting constraints, and operational complexity.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a single shared database with workspace_id as the tenant isolation column. Every workspace-scoped table carries a non-nullable workspace_id. Every query on tenant data includes workspace_id as a mandatory condition. Isolation is enforced at the application layer.</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Separate database per couple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isolation, easy backup per couple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feasible on shared hosting (database count limits). Operational overhead scales linearly with couple count. Cross-tenant reporting becomes complex.</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Separate schema per couple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Good isolation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MySQL does not support schemas in the PostgreSQL sense. Would require separate databases anyway.</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Row-level security (PostgreSQL)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Database-enforced isolation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available in MySQL. Requires PostgreSQL from day one. Blocked by hosting constraints.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is present on every tenant-scoped table. No module may query a tenant table without workspace_id as a bound parameter. This discipline is enforced through code review and the module checklist in DBP v1.0. The Super Admin sees all workspaces by running queries without the workspace filter — an explicit, privileged operation always logged in the audit trail.</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platform reaches a scale where single-database architecture creates contention, the consistent presence of workspace_id on all tables makes sharding straightforward: route all queries for a given workspace_id to its assigned database shard. No application logic changes.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ADR-006</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Guests Have No User Account</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Zero friction for guests is a core product principle documented in PRD v1.1. Every additional step removed from the guest journey increases RSVP completion rates. This decision is correct and must not be reversed without strong evidence.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 are the recipients of an invitation. Their role in the system is narrow: view the invitation, submit an RSVP, and display a QR code on the wedding day. They perform these actions once or twice across the entire lifecycle of the wedding.</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Requiring guests to create an account, verify their email, set a password, and log in before viewing an invitation introduces friction that directly reduces RSVP completion rates. Every additional step a guest must take is a step at which they may abandon the process.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 have no accounts. Their identity is entirely encoded in a cryptographically random Guest Code embedded in their personalized invitation URL. The URL is their credential. No session, no cookie, no registration.</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registration with email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Verified identity, re-authentication possible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RSVP rates would drop dramatically. Guests receiving a wedding invitation should not need to sign up for a platform.</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OTP via WhatsApp</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Familiar to Indonesian users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Adds a step before viewing the invitation. OTP delivery depends on WhatsApp API which is not in MVP scope.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session cookie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Remembers the guest across visits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Cookies expire, get cleared, or differ across devices. The URL token is more reliable and simpler.</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 Code must be cryptographically random and non-sequential to prevent enumeration attacks. The same URL serves all guest journey stages: invitation viewing, RSVP, reminder, and QR check-in. No guest ever needs a different link.</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future requirements demand verified guest identity (e.g. for premium event access control), a lightweight OTP-over-WhatsApp layer can be added on top of the existing URL token without changing the underlying guest data model.</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ADR-007</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Invitation Uses One Permanent URL</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The single permanent URL is one of the most important UX decisions in Inveetaire. It is the reason guests never need to search for a link, create an account, or download a ticket.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guest receives a WhatsApp message with their invitation link. They may view it immediately, share it with family, open it on a different device, or refer back to it on the wedding day to display their QR code.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the invitation URL changes — because the RSVP URL is different from the invitation URL, or the QR code page is a separate URL — the guest must manage multiple links. Any link distributed via WhatsApp is permanent once sent. Changing it breaks all previously distributed messages.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URL serves the entire guest journey. The same personalized link is used for: viewing the invitation, submitting the RSVP, receiving reminders, and displaying the QR code at check-in. The page's behavior adapts based on the current wedding lifecycle phase.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Separate RSVP URL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Cleaner separation of concerns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Two URLs sent to the guest. The original invitation link becomes stale after RSVP closes.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as a separate download</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Simpler implementation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must find and save a file. Relies on them having the file on their phone on wedding day. Higher failure rate.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Dynamic URL with phase parameter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Technical clarity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Parameters in URLs can be lost or modified. The permanent base URL is simpler and more resilient.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invitation URL format is: /{workspace_slug}/invite/{guest_code}. This URL is permanent for the lifetime of the workspace. The server determines what the guest sees based on the current wedding phase — the URL itself never changes. QR codes encode this same URL and are therefore also permanent.</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WhatsApp API is introduced, the same URL is embedded in automated messages. No URL migration is needed. The communication architecture is already designed around this permanent URL model.</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ADR-008</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Theme Versioning Exists</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Theme versioning protects existing couples from the consequences of product team improvements. It is a non-negotiable product promise: your invitation will look exactly as you configured it on your wedding day.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themes are product releases designed by the Inveetaire team. A theme will evolve over time — bugs are fixed, animations are improved, new section types are added. Couples who configured their invitation against Theme v1.0 must not be affected by changes made for Theme v1.1.</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Without versioning, any theme update risks breaking an existing couple's invitation. If a section is renamed or removed, the couple's configuration referencing the old section name becomes invalid. The couple's wedding invitation breaks silently.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theme has independently versioned releases. A workspace pins to the specific theme version active at the time of configuration. Theme updates create new version records. Existing workspaces remain on their pinned version until they explicitly choose to upgrade.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version, always latest</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Simplest implementation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Any update to a theme could break any existing couple's configured invitation. Unacceptable risk for a live wedding invitation.</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 copies per workspace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 isolation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Storage explosion. Thousands of near-identical theme copies. Impossible to apply security patches across all copies.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Feature flags per theme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Granular control</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Extreme complexity. Would require a flag management system as complex as the version system itself.</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Breaking changes (structural section changes) create a new major version. Non-breaking changes (visual polish, performance) update the existing version without creating a new pinned version for existing workspaces. Couples may upgrade to a newer version voluntarily — a one-way, explicitly initiated action.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As the theme catalogue grows, version management becomes a significant operational concern. A theme version management interface in the Super Admin workspace will be required. Automated compatibility testing for theme updates will be valuable.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ADR-009</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Couple Cannot Design Their Own Layout</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Curated experience over user-built flexibility is frozen as a product principle in PRD v1.1. This decision protects the platform's quality reputation and the couple's wedding day.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must deliver professional-quality invitations for every couple, regardless of their design experience. The Indonesian wedding market expects beautiful, polished digital invitations. A couple who builds their own layout may produce something that reflects poorly on both themselves and the platform.</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Page builder tools — like those in website builders — require significant development investment, produce unpredictable output quality, are difficult to optimize for mobile, and create accessibility and performance nightmares when users make poor design choices.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products, not page builders. The Inveetaire design team creates and releases curated themes. Couples personalize the content within a theme — their story, photos, event details, and colors — but they never modify the layout.</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page builder (drag-and-drop)</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couple creativity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Enormous development cost. Poor output quality from non-designers. Performance and mobile optimization become impossible to guarantee. Accessibility cannot be enforced.</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Template with element repositioning</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More flexibility than fixed sections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Couples would create chaotic layouts. Quality cannot be guaranteed.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AI-generated layouts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Modern, differentiating</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AI designs the experience for the couple without giving them a blank canvas. This is a valid future enhancement — as a design assistant for the product team, not for end users.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product team controls every pixel of every invitation. Quality, performance, mobile optimization, and accessibility are guaranteed because the team owns the design layer. Couples choose from a curated set of color variants within each theme and toggle section visibility.</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AI may assist the Inveetaire design team in creating new themes faster. This is explicitly documented in SAD v1.1: AI is a design assistant for the product team, not a layout builder for end users.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ADR-010</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Event Crew Has a Separate Role</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Individual crew accounts are required for audit integrity and operational security. A check-in record that says 'performed by Crew Desk A' is meaningless. A check-in record that says 'performed by Siti Rahayu' is an audit trail.</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 the wedding day, reception desk operators — who may be family members, agency staff, or hired assistants — need access to the check-in interface. They must not have access to the couple's vendor budget, guest personal notes, message history, or invitation configuration.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check-in was performed through the Couple account, every reception desk operator would need the couple's password. This is a security risk, creates audit ambiguity (whose action was it?), and gives operators full access to sensitive planning data.</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Crew is a distinct user role with access scoped exclusively to the check-in interface. Each crew member has their own login. Every check-in action is attributed to the specific operator who performed it. Crew accounts are created and managed by the couple.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shares their login</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no extra accounts needed</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risk. No audit trail per operator. Operators can access budgets and vendor data.</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shared crew PIN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Easy to distribute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individual operator attribution. Cannot deactivate one operator without changing the PIN for all.</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Read-only couple sub-account</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Middle ground</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Does not separate check-in capability from planning data visibility.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check-in record permanently references the operator who performed it. Multiple crew accounts may operate simultaneously on different devices. The couple can create, activate, and deactivate crew accounts at any time. Crew sessions expire after 12 hours to cover a full wedding day.</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versions may introduce crew desk assignments (Operator A is assigned to Reception Desk B) with enforced routing. For MVP, desk assignment is informational only — a display label on the crew account.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ADR-011</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Guest Timeline is Append-Only</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The immutability of the guest timeline is a product promise: the couple can always trust the historical record of their guest list's journey.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 timeline records every status transition a guest passes through: created, invitation sent, opened, RSVP submitted, reminder sent, checked in. This is both an operational record and a post-event report.</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timeline records can be edited or deleted, the history of a guest's journey can be falsified. A dispute about whether an invitation was sent, or whether a guest actually checked in, would have no reliable answer.</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guest_timelines table is append-only. New rows are INSERTed for each lifecycle transition. No UPDATE or DELETE is ever executed on this table. The application database user is granted INSERT and SELECT only on this table.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Mutable status columns on the guest record only</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Simpler schema, single source of status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Status history is lost. Cannot answer 'when was this invitation first sent?' or 'did this guest open before or after the reminder?'</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sourcing with full CQRS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 event history</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Architectural overkill for this scale. The append-only table provides the same historical record with a fraction of the complexity.</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only (no separate timeline)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place for all history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is a platform-wide security record. The guest timeline is a business-facing operational record. They serve different audiences and must not be merged.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 timeline provides the raw data for the post-event guest journey report. It also powers the couple's real-time view of how their guest list is engaging with the invitation. Because it is immutable, it is always trustworthy.</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future requirement demands timeline corrections (e.g. a system bug recorded a false 'opened' event), the correction mechanism is a new timeline entry of type 'correction' that references and supersedes the erroneous entry — never a deletion.</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ADR-012</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Vendor Module is Not an Accounting System</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Clarity over accounting is a frozen product principle in PRD v1.1. The vendor module must never become an accounting system regardless of user requests.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Couples need to track vendor relationships, payment milestones, and outstanding balances. The temptation is to build a full accounting module with invoice management, receipt uploads, expense categories, tax reporting, and financial statements.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An accounting system is a fundamentally different product from a wedding planning tool. It would require compliance with financial regulations, significantly higher development complexity, and would dilute Inveetaire's product identity.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Vendor module is an awareness tool, not an accounting tool. It answers: what do I need to pay, when, and how much is left? It records payment milestones and tracks paid/unpaid status. It does not produce financial statements, manage invoices, or handle tax.</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accounting with invoices and receipts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Comprehensive financial record</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Scope creep that doubles development complexity. Accounting software is a separate product category.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Integration with accounting software (Xero, etc.)</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Best of both worlds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API integration adds dependency and complexity. Not in MVP scope.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vendor tracking at all</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Simplest option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budget chaos is a documented pain point in PRD v1.1. The feature must exist.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Vendor module dashboard answers five questions: How much is allocated? How much is paid? What's due next? Who is complete? Who needs action? Anything beyond these five questions belongs in an accounting product, not Inveetaire.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versions may allow receipt photo attachments for personal record-keeping — a media upload associated with a payment record. This is not accounting; it is documentation. The boundary must be actively defended as the product grows.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ADR-013</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QR Check-in Uses Webcam Instead of Dedicated Scanner</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Webcam-based QR scanning is the correct choice for accessibility, cost, and reliability at this scale. The most expensive piece of required hardware is a laptop that the organizer already owns.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receptions in Indonesia are typically held at hotels, convention halls, or private venues. The reception desk setup varies enormously. Requiring dedicated QR scanner hardware would add cost and a logistics dependency to every deployment of Inveetaire.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Dedicated QR scanners require procurement, configuration, and driver installation. They add to the cost of using Inveetaire for each wedding. If a scanner fails, the check-in process is blocked.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Use the laptop's built-in or attached webcam as the QR scanning device. A JavaScript webcam library handles QR code detection in the browser. The complete setup is: a laptop, a webcam (built-in or USB), a label printer. No additional hardware required.</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Dedicated USB QR scanner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Faster scan speed, more reliable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Hardware cost per deployment. Logistics dependency. Driver installation required. If it fails, check-in stops.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Native mobile app with camera</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Familiar UX, widely available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Native app development not in MVP scope. Adds app store dependency and installation friction for crew.</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QR code printed on physical invitation card</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phone required for guest</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Eliminates the digital QR-on-phone feature. Increases printing costs. Does not integrate with the invitation URL.</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webcam check-in interface is designed for one-handed operation: guest holds up phone, operator points webcam, system resolves and displays guest data. The entire interaction takes seconds. Manual search by name or Guest Code is always available as a fallback when the webcam cannot read the QR code.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future version may support mobile browser-based QR scanning on a tablet or smartphone for crew members who prefer that form factor. The check-in module's interface does not need to change — only a new input method is added.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ADR-014</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WhatsApp Integration Starts Manual</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Manual-first WhatsApp is pragmatic and correct for MVP. It validates the communication workflow at zero API cost. The upgrade path is clean and fully designed.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WhatsApp is the dominant communication platform in Indonesia. Every couple wants to send invitations and reminders via WhatsApp. The WhatsApp Business API enables automated sending — but it requires business verification, monthly fees, per-message costs, and compliance with WhatsApp's messaging policies.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WhatsApp Business API is not appropriate for an MVP. The verification process takes time, the costs add before revenue is established, and policy compliance requires ongoing attention. If the API is unavailable or rejected, the entire communication feature fails.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At MVP, the Communication module generates personalized pre-filled WhatsApp message links. The couple opens the link, which launches WhatsApp with the recipient and message pre-filled. The couple taps Send. The system records the action. Full API automation is introduced in a post-MVP phase.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WhatsApp API from day one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Fully automated, no manual sending</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Verification delays MVP launch. Per-message costs before revenue. Policy compliance overhead. API outage blocks all communication.</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Email invitation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API cost, reliable delivery</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Email open rates in Indonesia for personal communication are significantly lower than WhatsApp. Guests expect WhatsApp.</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SMS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Universal reach</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Higher per-message cost than WhatsApp. Shorter message length. No rich media.</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Communication module's interface is identical whether delivery is manual or API-automated. The couple selects guests, chooses a template, and initiates sending. The delivery mechanism is an implementation detail hidden inside the Communication module. When API is introduced, only the internal delivery function changes.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WhatsApp Business API integration is planned as the first post-MVP feature. The upgrade requires no UX changes and no database schema changes. Only the communication module's internal delivery implementation is replaced.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ADR-015</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Offline Resilience is Mandatory</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The mandate that technology supports the event and never stops it is a frozen product principle from PRD v1.1. Offline resilience is not a nice-to-have feature — it is the minimum viable operational guarantee.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wedding reception with 300–600 guests arrives over two to three hours. The check-in system processes one guest every few seconds. If internet connectivity fails during this window, every guest waiting in queue is affected. The reception team cannot process arrivals. The couple's carefully planned wedding day is disrupted.</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Internet connectivity in Indonesian wedding venues — hotels, convention halls, outdoor venues — is not guaranteed to be stable or fast. A system that stops working when the internet drops is a liability that no professional Wedding Organizer will accept.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check-in interface supports local-first operation. Check-ins accepted while offline are queued in browser local storage. When connectivity is restored, the queue is submitted and synchronized with the server. The wedding day never stops because of a network interruption.</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 stable internet (no offline mode)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Simpler implementation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Unacceptable operational risk. Any internet disruption halts check-in. One hotel WiFi failure becomes a product failure.</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Full Progressive Web App with local database sync</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Complete offline capability</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Service Workers and IndexedDB add significant complexity to an MVP. Overkill for the typical connectivity scenario.</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Offline fallback to paper list</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technical dependency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Defeats the purpose of the platform. Couples would lose confidence in the system.</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offline queue uses browser localStorage for temporary storage. Queued check-ins are submitted when connectivity is restored. The check-in interface displays a clear offline indicator when the network is unavailable. Crew members can continue scanning and processing without interruption.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production usage reveals that venue connectivity is consistently unreliable, a Progressive Web App with IndexedDB sync can be implemented. The check-in module's interface and the server-side check-in API do not change — only the offline storage mechanism is upgraded.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ADR-016</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Setup Mode and Execution Mode are Separated</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Setup before execution is a frozen product principle from PRD v1.1. It is the operational guarantee that the wedding day runs the way the couple planned it — not the way the reception team improvises it.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day operations are time-critical and high-pressure. Reception operators are processing a queue of real people. They cannot make configuration decisions during check-in. If a printer setting is wrong, if a label template is not defined, the operator must not be the one to fix it in real time.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Mixing configuration and execution in the same workflow creates operational risk. An operator who discovers that angpao labels are not configured must either interrupt the check-in process, find the couple to fix the setting, or proceed without labels.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configuration decisions — label templates, printer dimensions, trigger conditions, RSVP settings, theme choices — are made during Setup Mode before the wedding date. On the wedding day (Execution Mode), operators execute a pre-configured workflow. No configuration decisions are made during the event.</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Configuration available during the event</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Flexibility for late changes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High risk of misconfiguration under pressure. Any change made during the event affects all subsequent check-ins immediately.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Lock configuration at a fixed deadline (e.g. 24 hours before)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Controlled cutoff</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Arbitrary cutoff creates stress. The couple may legitimately need to update guest list additions up to the last moment.</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distinction (same interface for all phases)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implementation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Operators could accidentally change configuration while trying to check in a guest. Catastrophic risk.</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Couple portal shows configuration interfaces until the wedding date. When the workspace enters Live status, configuration options are hidden from the Crew interface. The Couple can still make emergency changes from their portal, but the Crew interface is purely operational.</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versions may introduce a 'wedding day lock' option where the couple explicitly freezes all configuration 24 hours before the event, giving them explicit control over the cutoff point.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ADR-017</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Workspace Lifecycle Exists</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The workspace lifecycle is the product's operational backbone. It is what allows Inveetaire to transition seamlessly from planning tool to operations command center to archive without requiring the couple to switch applications.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wedding workspace serves different needs at different times. Before the wedding, it is a planning tool. On the wedding day, it is an operations command center. After the wedding, it is a report and archive. After the retention period, it must be cleaned up to manage storage and database growth.</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Without a defined lifecycle, the workspace has no clear state transitions, no automatic phase management, and no storage cleanup policy. Couples would receive check-in functionality before they are ready for it. Reports would be generated before data collection is complete.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Workspaces move through defined lifecycle phases: Provisioned → Setup → Active → Live → Post-Event → Archived → Purged. Each phase determines which features are available, which interfaces are shown, and which operations are permitted.</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static workspace (no lifecycle)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to implement</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way to enforce readiness before sending. No way to disable check-in before the wedding day. No storage cleanup.</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Manual phase transitions by couple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 controls timing</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Couples forget or delay transitions. The system loses predictability. Automation is more reliable.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Time-based phases only (no explicit states)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Low overhead</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Some transitions are time-based (wedding date), others are event-based (first invitation sent). Pure time-based cannot handle event-based transitions.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Phase transitions trigger interface changes, feature availability changes, and notification changes automatically. The couple does not need to 'activate' the live dashboard — it activates when the wedding date arrives. The couple does not need to 'close' check-in — it closes automatically after the wedding date.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versions may introduce manual phase override capabilities for Super Admin — allowing early or delayed phase transitions for unusual situations (e.g. wedding postponed after invitations sent).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ADR-018</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Package Determines Modules, Not Pricing</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Decoupling package from pricing is one of the most mature architectural decisions in the product. It enables product flexibility and commercial flexibility to evolve independently.</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offers two event types at MVP: Wedding and Engagement. Each requires a different set of features. A Wedding workspace needs QR check-in, vendor management, and label printing. An Engagement workspace needs only basic guest management and a digital invitation.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modules were tied to pricing tiers, adding a new event type (Birthday, Corporate) would require redesigning the pricing model and the module availability system simultaneously. The two concerns would be entangled.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Event Type (package) determines which modules are active in a workspace. Commercial Plan (pricing tier) determines service entitlements, guest limits, crew account limits, and retention periods. These two concepts are entirely independent and implemented in separate database tables.</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Package = pricing tier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mental model</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Wedding on Starter plan and a Wedding on Professional plan have identical features. Pricing should not determine feature availability — it should determine service level.</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Feature flags per workspace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Maximum flexibility</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Complexity explosion. Hundreds of possible feature combinations. No coherent product identity.</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Single plan for all event types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Simplest billing</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Cannot offer a simpler, cheaper Engagement product. Pricing cannot be differentiated by event type.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event_types table defines available modules per event type. The commercial_plans table defines service entitlements. A workspace references both independently. Changing a workspace's Commercial Plan (upgrade/downgrade) does not change its feature set. Defining a new event type does not require a new pricing tier.</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Future event types (Birthday, Anniversary, Corporate) are added by creating new event_type records and defining their module configurations. Existing Commercial Plans apply to new event types automatically. No pricing redesign required.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ADR-019</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One Invitation Exists Per Workspace</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One invitation per workspace keeps the data model clean, the URL scheme simple, and the guest experience consistent.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workspace represents one wedding event. A wedding event has one invitation. The invitation is the digital representation of the couple's event, delivered to each guest through a personalized URL.</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multiple invitations per workspace were allowed, the system would need to define which invitation a guest belongs to, how themes are selected per invitation, and how RSVP data is aggregated across invitations. The operational complexity multiplies without a clear product benefit.</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Each workspace has exactly one Invitation record, created automatically at provisioning. The couple configures this single invitation. All guests in the workspace receive URLs pointing to this invitation. The invitation can be updated any time before it is published.</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Multiple invitations per workspace (by event type)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Different design for ceremony vs reception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Guests would need multiple URLs. Guest-to-invitation mapping adds complexity. The single URL principle breaks.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Invitation per event (Akad vs Reception)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Precise targeting</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Different events are handled through the Wedding Event and Guest Event assignment system, not through separate invitations.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invitation entity (static theme render)</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Simplest possible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Cannot store couple configuration. Cannot support theme versioning. Cannot track invitation status.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single Invitation record is the anchor of all invitation-related configuration: theme version, color variant, section visibility, RSVP settings, gift info, wish wall settings. All of these are properties of one record, not of many.</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future product requirement demands different invitation designs for different guest groups (VIP invitation vs standard invitation), this would be addressed through invitation variants or invitation templates — a new concept that extends the current model rather than replacing it.</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ADR-020</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Business Logic Lives in Services</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Services as the home of business logic is the architectural convention that makes the codebase testable, maintainable, and migratable.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logic — RSVP PAX validation, check-in duplicate detection, overdue payment identification, guest status transitions — must be applied consistently regardless of where it is triggered. A guest who submits RSVP through the web form, through a future API, or through a future mobile app must experience the same validation.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business logic lives in controllers, it must be duplicated across every entry point. If it lives in models, models become fat and hard to test. If it lives in views, validation is bypassed when views change.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All business logic lives in Service classes. Controllers call services. Views receive prepared data. Models handle only data access. Services are the single authoritative location for rules, calculations, transitions, and orchestration.</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 in Controllers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Fastest to write initially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Duplicated when API endpoints are added. Cannot be unit tested independently.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 in Models (Active Record pattern)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Familiar to Laravel developers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Models grow into god objects. Database access and business rules become entangled.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Logic in Views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extra layer</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enforcement. Views are bypassed by AJAX and API calls. Critical validation is skipped.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module has a Service class that is the single authoritative location for that module's business logic. When a business rule changes (e.g. maximum invited PAX increases), only one file changes — the Service. All entry points benefit automatically.</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Laravel is adopted, Service classes migrate with minimal changes. Laravel service providers register them. The logic itself does not change — only the dependency injection mechanism changes.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ADR-021</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Controllers Must Remain Thin</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Thin controllers are a quality constraint, not just a style preference. They are what makes the service layer authoritative and the codebase maintainable.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controller that contains business logic, database queries, and view formatting is doing the work of three components. It becomes impossible to test in isolation, impossible to reuse, and increasingly difficult to maintain as the product grows.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'Fat controllers' are the most common anti-pattern in MVC applications. They accumulate logic over time because they are the easiest place to add code. Without an explicit architectural constraint, they will grow.</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Controllers have exactly four responsibilities: receive input, validate input format (via Validator), call the appropriate Service, return a response. A controller method that exceeds 20 lines is a signal that a responsibility is misplaced.</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Fat controllers with embedded logic</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Faster to write for single developers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Unmaintainable at scale. Impossible to test. Cannot reuse logic across entry points.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controllers (direct route handlers)</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Minimal abstraction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Route handlers become fat handler functions. Same problem, different name.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Controller per action (not per resource)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Very granular</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Multiplication of files without benefit. Each single-action controller still needs to be thin.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20-line guideline for controller methods is enforced through code review and the Module Checklist in DBP v1.0. Any controller method that approaches this limit prompts the reviewer to ask: what logic can be moved to the Service?</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Laravel is adopted, thin controllers map directly to Laravel controller methods. The migration is trivial because the controllers contain almost no logic to migrate.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ADR-022</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Views Must Never Access the Database Directly</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Views that are pure display components are the prerequisite for future frontend framework adoption. The discipline enforced today makes tomorrow's migration trivial.</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 view that queries the database directly creates an invisible dependency between the presentation layer and the data layer. The dependency is invisible because it lives in a template file, not in a service or model class.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a database schema changes, views that query the database directly break silently. When a view is included in a different context (a different controller, a future API response), it carries unexpected database queries into that context. Performance becomes unpredictable because the number of queries generated by rendering a page is not visible in the controller.</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receive a prepared data array from the controller. They display that data using helper functions and output escaping. They never instantiate models, call services, or execute queries. Any conditional logic in a view operates only on the prepared data array.</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with embedded queries (PHP template style)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Fast initial development</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N+1 query problems. Invisible database dependencies. Cannot cache view output safely.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 Models (Presenter pattern)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Clean separation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Adds a layer of abstraction. At MVP scale, controllers preparing data for views is sufficient.</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React/Vue SPA (views as components)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Modern, clean separation</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Requires a JSON API. Not available at MVP on shared hosting.</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Module Checklist in DBP v1.0 includes a check: 'grep for unescaped echo statements and service calls in view files passes with zero results.' This is the enforcement mechanism. Views that import service classes fail the checklist.</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React is introduced for the check-in interface or dashboard, the transition is straightforward: the controller already returns prepared data. React simply consumes that data from a JSON endpoint instead of from a PHP template.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ADR-023</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Soft Delete is Preferred Over Hard Delete</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Soft delete is not a compromise — it is the correct choice for any system where historical accuracy and relationship integrity are requirements.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Wedding data has a complex web of relationships. A guest who is removed from the active list may still have an RSVP record, a check-in record, communication log entries, and timeline entries. A vendor that is cancelled may still have payment history that informs the budget reconciliation.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records are hard-deleted, all these related records become orphaned or must be cascade-deleted. Orphaned records corrupt reports. Cascade deletion destroys historical records that may be needed for post-event documentation.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Entities with relational dependencies use soft delete: a deleted_at timestamp column where NULL means active and any timestamp means removed. Active queries always filter WHERE deleted_at IS NULL. Historical queries and reports query without this filter.</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Hard delete with cascade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Clean database, no orphaned records</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Historical records destroyed. Cannot produce accurate post-event reports. Check-in records referencing deleted guests lose context.</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Archive table (move to separate table)</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Keeps primary tables clean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Complex migration logic. Two copies of the schema to maintain. Queries must know whether to look in active or archive table.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Soft delete with is_deleted boolean only (no timestamp)</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 flag</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Cannot answer when the record was deleted. Timestamp is free and provides valuable audit information.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deleted_at pattern is consistent across all soft-deleted tables. The is_deleted TINYINT(1) column is indexed alongside workspace_id for efficient active-record queries. Reporting queries explicitly include deleted records when historical completeness is required.</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 purge (permanent deletion after retention period) is the only scenario where hard deletion occurs — and it is a deliberate, scheduled, bulk operation that removes all data for a workspace after the couple has had ample time to export their records.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ADR-024</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Every Operational Table Contains workspace_id</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workspace_id on every operational table is a non-negotiable architectural requirement. It is the enforcement mechanism for multi-tenant data isolation.</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Inveetaire is a multi-tenant system. Every tenant's data must be isolated. The application enforces this isolation by including workspace_id in every query on tenant-scoped data. If a table does not have workspace_id, the query cannot include the isolation condition.</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There are two alternatives: join through parent tables to reach the workspace_id, or denormalize workspace_id onto child tables. Joining through parent tables on every query adds latency and complexity. It also creates a risk: forgetting one join means a query returns data across workspaces.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workspace-scoped table carries a direct workspace_id column, even when it could be derived by joining through a parent table. This is a deliberate denormalization in service of security and query simplicity.</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Derive workspace_id through parent joins</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Normalized schema</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Every query requires a join chain to reach workspace_id. A missed join is a multi-tenant data leak. Significant query complexity.</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Row-level security at the database layer</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Database-enforced isolation</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Not available in MySQL. Requires PostgreSQL. Blocked by hosting constraints.</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Application-level enforcement only (no column)</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Less redundancy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enforcement mechanism at all if a developer forgets the WHERE clause. The column serves as both documentation and query anchor.</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workspace_id column on every operational table serves three purposes: it is the query isolation condition, it is the documentation that this record belongs to one tenant, and it enables direct workspace-scoped queries without join chains. The Module Checklist requires that every model method on tenant data includes workspace_id as a bound parameter.</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When the platform scales to a point where database sharding is needed, the workspace_id column is the sharding key. All records for a given workspace are on the same shard. No application code changes — only the database routing layer is added.</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center"/>
            </w:pPr>
            <w:r>
              <w:rPr>
                <w:rFonts w:ascii="Arial" w:cs="Arial" w:eastAsia="Arial" w:hAnsi="Arial"/>
                <w:b/>
                <w:bCs/>
                <w:i w:val="false"/>
                <w:iCs w:val="false"/>
                <w:color w:val="C9A84C"/>
                <w:sz w:val="24"/>
                <w:szCs w:val="24"/>
              </w:rPr>
              <w:t xml:space="preserve">ADR-025</w:t>
            </w:r>
          </w:p>
        </w:tc>
        <w:tc>
          <w:tcPr>
            <w:tcW w:type="dxa" w:w="57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2"/>
                <w:szCs w:val="22"/>
              </w:rPr>
              <w:t xml:space="preserve">Why Audit Log and Guest Timeline Are Separate Concepts</w:t>
            </w:r>
          </w:p>
        </w:tc>
        <w:tc>
          <w:tcPr>
            <w:tcW w:type="dxa" w:w="1800"/>
            <w:tcBorders>
              <w:top w:val="single" w:color="C5D5DF" w:sz="1"/>
              <w:left w:val="single" w:color="C5D5DF" w:sz="1"/>
              <w:bottom w:val="single" w:color="C5D5DF" w:sz="1"/>
              <w:right w:val="single" w:color="C5D5DF" w:sz="1"/>
            </w:tcBorders>
            <w:shd w:fill="E8F5E9" w:val="clear"/>
            <w:tcMar>
              <w:top w:type="dxa" w:w="100"/>
              <w:left w:type="dxa" w:w="140"/>
              <w:bottom w:type="dxa" w:w="100"/>
              <w:right w:type="dxa" w:w="140"/>
            </w:tcMar>
            <w:vAlign w:val="center"/>
          </w:tcPr>
          <w:p>
            <w:pPr>
              <w:jc w:val="center"/>
            </w:pPr>
            <w:r>
              <w:rPr>
                <w:rFonts w:ascii="Arial" w:cs="Arial" w:eastAsia="Arial" w:hAnsi="Arial"/>
                <w:b/>
                <w:bCs/>
                <w:i w:val="false"/>
                <w:iCs w:val="false"/>
                <w:color w:val="1B5E20"/>
                <w:sz w:val="20"/>
                <w:szCs w:val="20"/>
              </w:rPr>
              <w:t xml:space="preserve">● ACCEPTED</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iCs/>
                <w:color w:val="2C2C2C"/>
                <w:sz w:val="21"/>
                <w:szCs w:val="21"/>
              </w:rPr>
              <w:t xml:space="preserve">Separation of concerns between security audit and business timeline is an architectural principle that keeps both systems simple, fast, and independently maintainable.</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CONTEXT</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PROBLEM</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Two append-only record systems exist in Inveetaire: the audit_logs table (platform-wide security and operational audit) and the guest_timelines table (per-guest lifecycle history). A developer seeing both might ask: why not merge them?</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serves security, compliance, and operational accountability. It is read by Super Admins and used to investigate incidents, track support mode activity, and produce compliance records. The guest timeline serves business reporting — it answers the couple's question: what happened with each of my guests?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left"/>
            </w:pPr>
            <w:r>
              <w:rPr>
                <w:rFonts w:ascii="Arial" w:cs="Arial" w:eastAsia="Arial" w:hAnsi="Arial"/>
                <w:b/>
                <w:bCs/>
                <w:i w:val="false"/>
                <w:iCs w:val="false"/>
                <w:color w:val="1B3A4B"/>
                <w:sz w:val="19"/>
                <w:szCs w:val="19"/>
              </w:rPr>
              <w:t xml:space="preserve">✅  DECISION</w:t>
            </w:r>
          </w:p>
        </w:tc>
      </w:tr>
      <w:tr>
        <w:tc>
          <w:tcPr>
            <w:tcW w:type="dxa" w:w="9360"/>
            <w:tcBorders>
              <w:top w:val="single" w:color="C5D5DF" w:sz="1"/>
              <w:left w:val="single" w:color="C5D5DF" w:sz="1"/>
              <w:bottom w:val="single" w:color="C5D5DF" w:sz="1"/>
              <w:right w:val="single" w:color="C5D5DF" w:sz="1"/>
            </w:tcBorders>
            <w:shd w:fill="FFF8E1"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log and guest timeline are separate tables serving different audiences, different queries, and different retention requirements. The audit log captures all significant system events across all entities. The guest timeline captures only guest lifecycle transitions for one workspace.</w:t>
            </w:r>
          </w:p>
        </w:tc>
      </w:tr>
    </w:tbl>
    <w:p>
      <w:r>
        <w:t xml:space="preserve"/>
      </w:r>
    </w:p>
    <w:p>
      <w:pPr>
        <w:pStyle w:val="Heading3"/>
        <w:spacing w:after="60" w:before="160"/>
      </w:pPr>
      <w:r>
        <w:rPr>
          <w:rFonts w:ascii="Arial" w:cs="Arial" w:eastAsia="Arial" w:hAnsi="Arial"/>
          <w:b/>
          <w:bCs/>
          <w:color w:val="2E4F63"/>
          <w:sz w:val="22"/>
          <w:szCs w:val="22"/>
        </w:rPr>
        <w:t xml:space="preserve">Alternatives Considered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3280"/>
        <w:gridCol w:w="3280"/>
      </w:tblGrid>
      <w:tr>
        <w:tc>
          <w:tcPr>
            <w:tcW w:type="dxa" w:w="28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Alternative</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Pros</w:t>
            </w:r>
          </w:p>
        </w:tc>
        <w:tc>
          <w:tcPr>
            <w:tcW w:type="dxa" w:w="328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Why Rejected</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Merge into single audit table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less table</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audit table grows enormous. Guest timeline queries become slow and complex. Business-facing reports become entangled with security records.</w:t>
            </w:r>
          </w:p>
        </w:tc>
      </w:tr>
      <w:tr>
        <w:tc>
          <w:tcPr>
            <w:tcW w:type="dxa" w:w="28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 only (no audit log)</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Simpler</w:t>
            </w:r>
          </w:p>
        </w:tc>
        <w:tc>
          <w:tcPr>
            <w:tcW w:type="dxa" w:w="32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Security events (login failures, support mode access, configuration changes) have no record. Compliance and incident investigation are impossible.</w:t>
            </w:r>
          </w:p>
        </w:tc>
      </w:tr>
      <w:tr>
        <w:tc>
          <w:tcPr>
            <w:tcW w:type="dxa" w:w="28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only (no guest timeline)</w:t>
            </w:r>
          </w:p>
        </w:tc>
        <w:tc>
          <w:tcPr>
            <w:tcW w:type="dxa" w:w="32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system for all history</w:t>
            </w:r>
          </w:p>
        </w:tc>
        <w:tc>
          <w:tcPr>
            <w:tcW w:type="dxa" w:w="3280"/>
            <w:tcBorders>
              <w:top w:val="single" w:color="C5D5DF" w:sz="1"/>
              <w:left w:val="single" w:color="C5D5DF" w:sz="1"/>
              <w:bottom w:val="single" w:color="C5D5DF" w:sz="1"/>
              <w:right w:val="single" w:color="C5D5DF" w:sz="1"/>
            </w:tcBorders>
            <w:shd w:fill="FFEBEE"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timeline queries require filtering the entire audit log for a specific workspace and entity type. Performance degrades. Business reports become complex joins.</w:t>
            </w:r>
          </w:p>
        </w:tc>
      </w:tr>
    </w:tbl>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CONSEQUENCES</w:t>
            </w:r>
          </w:p>
        </w:tc>
        <w:tc>
          <w:tcPr>
            <w:tcW w:type="dxa" w:w="4680"/>
            <w:tcBorders>
              <w:top w:val="single" w:color="C5D5DF" w:sz="1"/>
              <w:left w:val="single" w:color="C5D5DF" w:sz="1"/>
              <w:bottom w:val="single" w:color="C5D5DF" w:sz="1"/>
              <w:right w:val="single" w:color="C5D5DF" w:sz="1"/>
            </w:tcBorders>
            <w:shd w:fill="2E4F63"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19"/>
                <w:szCs w:val="19"/>
              </w:rPr>
              <w:t xml:space="preserve">🔭  FUTURE CONSIDERATIONS</w:t>
            </w:r>
          </w:p>
        </w:tc>
      </w:tr>
      <w:tr>
        <w:tc>
          <w:tcPr>
            <w:tcW w:type="dxa" w:w="468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 guest timeline is optimized for a single query pattern: give me all lifecycle events for guest X in workspace Y, ordered by time. The audit log is optimized for a different query pattern: give me all events of type Z across all workspaces, filtered by actor and date range. These two access patterns require different indexes and different table structures.</w:t>
            </w:r>
          </w:p>
        </w:tc>
        <w:tc>
          <w:tcPr>
            <w:tcW w:type="dxa" w:w="468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If a future requirement demands that guest timeline events are also represented in the audit log (e.g. for compliance with data protection regulations), a lightweight audit entry can be written alongside the guest timeline entry without merging the tables.</w:t>
            </w:r>
          </w:p>
        </w:tc>
      </w:tr>
    </w:tbl>
    <w:p>
      <w:r>
        <w:br w:type="page"/>
      </w:r>
    </w:p>
    <w:p>
      <w:pPr>
        <w:pStyle w:val="Heading1"/>
        <w:pBdr>
          <w:bottom w:val="single" w:color="C9A84C" w:sz="8" w:space="4"/>
        </w:pBdr>
        <w:spacing w:after="160" w:before="400"/>
      </w:pPr>
      <w:r>
        <w:rPr>
          <w:rFonts w:ascii="Arial" w:cs="Arial" w:eastAsia="Arial" w:hAnsi="Arial"/>
          <w:b/>
          <w:bCs/>
          <w:color w:val="1B3A4B"/>
          <w:sz w:val="36"/>
          <w:szCs w:val="36"/>
        </w:rPr>
        <w:t xml:space="preserve">Architecture Governance</w:t>
      </w:r>
    </w:p>
    <w:p>
      <w:pPr>
        <w:pStyle w:val="Heading2"/>
        <w:spacing w:after="100" w:before="280"/>
      </w:pPr>
      <w:r>
        <w:rPr>
          <w:rFonts w:ascii="Arial" w:cs="Arial" w:eastAsia="Arial" w:hAnsi="Arial"/>
          <w:b/>
          <w:bCs/>
          <w:color w:val="4A6274"/>
          <w:sz w:val="26"/>
          <w:szCs w:val="26"/>
        </w:rPr>
        <w:t xml:space="preserve">Purpose</w:t>
      </w:r>
    </w:p>
    <w:p>
      <w:pPr>
        <w:spacing w:after="80" w:before="80"/>
        <w:jc w:val="left"/>
      </w:pPr>
      <w:r>
        <w:rPr>
          <w:rFonts w:ascii="Arial" w:cs="Arial" w:eastAsia="Arial" w:hAnsi="Arial"/>
          <w:b w:val="false"/>
          <w:bCs w:val="false"/>
          <w:i w:val="false"/>
          <w:iCs w:val="false"/>
          <w:color w:val="2C2C2C"/>
          <w:sz w:val="22"/>
          <w:szCs w:val="22"/>
        </w:rPr>
        <w:t xml:space="preserve">This document is the official architectural history of the Inveetaire platform. It records the reasoning behind every major decision made during the design phase. It exists so that future developers — human and AI — understand not just WHAT was decided, but WHY, and what alternatives were considered and rejected.</w:t>
      </w:r>
    </w:p>
    <w:p>
      <w:r>
        <w:t xml:space="preserve"/>
      </w:r>
    </w:p>
    <w:p>
      <w:pPr>
        <w:pStyle w:val="Heading2"/>
        <w:spacing w:after="100" w:before="280"/>
      </w:pPr>
      <w:r>
        <w:rPr>
          <w:rFonts w:ascii="Arial" w:cs="Arial" w:eastAsia="Arial" w:hAnsi="Arial"/>
          <w:b/>
          <w:bCs/>
          <w:color w:val="4A6274"/>
          <w:sz w:val="26"/>
          <w:szCs w:val="26"/>
        </w:rPr>
        <w:t xml:space="preserve">The Governance Rule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7960"/>
      </w:tblGrid>
      <w:tr>
        <w:tc>
          <w:tcPr>
            <w:tcW w:type="dxa" w:w="1400"/>
            <w:tcBorders>
              <w:top w:val="single" w:color="C5D5DF" w:sz="1"/>
              <w:left w:val="single" w:color="C5D5DF" w:sz="1"/>
              <w:bottom w:val="single" w:color="C5D5DF" w:sz="1"/>
              <w:right w:val="single" w:color="C5D5DF" w:sz="1"/>
            </w:tcBorders>
            <w:shd w:fill="C9A84C" w:val="clear"/>
            <w:tcMar>
              <w:top w:type="dxa" w:w="100"/>
              <w:left w:type="dxa" w:w="140"/>
              <w:bottom w:type="dxa" w:w="100"/>
              <w:right w:type="dxa" w:w="140"/>
            </w:tcMar>
            <w:vAlign w:val="center"/>
          </w:tcPr>
          <w:p>
            <w:pPr>
              <w:jc w:val="center"/>
            </w:pPr>
            <w:r>
              <w:rPr>
                <w:rFonts w:ascii="Arial" w:cs="Arial" w:eastAsia="Arial" w:hAnsi="Arial"/>
                <w:b/>
                <w:bCs/>
                <w:i w:val="false"/>
                <w:iCs w:val="false"/>
                <w:color w:val="FFFFFF"/>
                <w:sz w:val="18"/>
                <w:szCs w:val="18"/>
              </w:rPr>
              <w:t xml:space="preserve">RULE</w:t>
            </w:r>
          </w:p>
        </w:tc>
        <w:tc>
          <w:tcPr>
            <w:tcW w:type="dxa" w:w="7960"/>
            <w:tcBorders>
              <w:top w:val="single" w:color="C5D5DF" w:sz="1"/>
              <w:left w:val="single" w:color="C5D5DF" w:sz="1"/>
              <w:bottom w:val="single" w:color="C5D5DF" w:sz="1"/>
              <w:right w:val="single" w:color="C5D5DF" w:sz="1"/>
            </w:tcBorders>
            <w:shd w:fill="F5F0E8"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No architectural decision documented in this ADR may be modified, reversed, or bypassed without creating a new ADR that explicitly references the decision being changed, documents the new context that justifies the change, and receives formal review and approval before any code implementing the change is written.</w:t>
            </w:r>
          </w:p>
        </w:tc>
      </w:tr>
    </w:tbl>
    <w:p>
      <w:r>
        <w:t xml:space="preserve"/>
      </w:r>
    </w:p>
    <w:p>
      <w:pPr>
        <w:pStyle w:val="Heading2"/>
        <w:spacing w:after="100" w:before="280"/>
      </w:pPr>
      <w:r>
        <w:rPr>
          <w:rFonts w:ascii="Arial" w:cs="Arial" w:eastAsia="Arial" w:hAnsi="Arial"/>
          <w:b/>
          <w:bCs/>
          <w:color w:val="4A6274"/>
          <w:sz w:val="26"/>
          <w:szCs w:val="26"/>
        </w:rPr>
        <w:t xml:space="preserve">How to Propose an Architectural Change</w:t>
      </w:r>
    </w:p>
    <w:p>
      <w:pPr>
        <w:spacing w:after="80" w:before="80"/>
        <w:jc w:val="left"/>
      </w:pPr>
      <w:r>
        <w:rPr>
          <w:rFonts w:ascii="Arial" w:cs="Arial" w:eastAsia="Arial" w:hAnsi="Arial"/>
          <w:b w:val="false"/>
          <w:bCs w:val="false"/>
          <w:i w:val="false"/>
          <w:iCs w:val="false"/>
          <w:color w:val="2C2C2C"/>
          <w:sz w:val="22"/>
          <w:szCs w:val="22"/>
        </w:rPr>
        <w:t xml:space="preserve">If a developer or AI assistant believes an architectural decision should be revisited, the process is:</w:t>
      </w:r>
    </w:p>
    <w:p>
      <w:pPr>
        <w:pStyle w:val="ListParagraph"/>
        <w:numPr>
          <w:ilvl w:val="0"/>
          <w:numId w:val="2"/>
        </w:numPr>
        <w:spacing w:after="60" w:before="60"/>
      </w:pPr>
      <w:r>
        <w:rPr>
          <w:rFonts w:ascii="Arial" w:cs="Arial" w:eastAsia="Arial" w:hAnsi="Arial"/>
          <w:color w:val="2C2C2C"/>
          <w:sz w:val="22"/>
          <w:szCs w:val="22"/>
        </w:rPr>
        <w:t xml:space="preserve">Identify the ADR number that documents the decision you believe should change.</w:t>
      </w:r>
    </w:p>
    <w:p>
      <w:pPr>
        <w:pStyle w:val="ListParagraph"/>
        <w:numPr>
          <w:ilvl w:val="0"/>
          <w:numId w:val="2"/>
        </w:numPr>
        <w:spacing w:after="60" w:before="60"/>
      </w:pPr>
      <w:r>
        <w:rPr>
          <w:rFonts w:ascii="Arial" w:cs="Arial" w:eastAsia="Arial" w:hAnsi="Arial"/>
          <w:color w:val="2C2C2C"/>
          <w:sz w:val="22"/>
          <w:szCs w:val="22"/>
        </w:rPr>
        <w:t xml:space="preserve">Document the new context: what has changed in the product, technical environment, or business situation that makes the original decision no longer optimal?</w:t>
      </w:r>
    </w:p>
    <w:p>
      <w:pPr>
        <w:pStyle w:val="ListParagraph"/>
        <w:numPr>
          <w:ilvl w:val="0"/>
          <w:numId w:val="2"/>
        </w:numPr>
        <w:spacing w:after="60" w:before="60"/>
      </w:pPr>
      <w:r>
        <w:rPr>
          <w:rFonts w:ascii="Arial" w:cs="Arial" w:eastAsia="Arial" w:hAnsi="Arial"/>
          <w:color w:val="2C2C2C"/>
          <w:sz w:val="22"/>
          <w:szCs w:val="22"/>
        </w:rPr>
        <w:t xml:space="preserve">Draft a new ADR (ADR-026 or higher) using the standard format. Reference the original ADR in the Context section.</w:t>
      </w:r>
    </w:p>
    <w:p>
      <w:pPr>
        <w:pStyle w:val="ListParagraph"/>
        <w:numPr>
          <w:ilvl w:val="0"/>
          <w:numId w:val="2"/>
        </w:numPr>
        <w:spacing w:after="60" w:before="60"/>
      </w:pPr>
      <w:r>
        <w:rPr>
          <w:rFonts w:ascii="Arial" w:cs="Arial" w:eastAsia="Arial" w:hAnsi="Arial"/>
          <w:color w:val="2C2C2C"/>
          <w:sz w:val="22"/>
          <w:szCs w:val="22"/>
        </w:rPr>
        <w:t xml:space="preserve">Submit the draft ADR for review. No code implementing the change may be written before approval.</w:t>
      </w:r>
    </w:p>
    <w:p>
      <w:pPr>
        <w:pStyle w:val="ListParagraph"/>
        <w:numPr>
          <w:ilvl w:val="0"/>
          <w:numId w:val="2"/>
        </w:numPr>
        <w:spacing w:after="60" w:before="60"/>
      </w:pPr>
      <w:r>
        <w:rPr>
          <w:rFonts w:ascii="Arial" w:cs="Arial" w:eastAsia="Arial" w:hAnsi="Arial"/>
          <w:color w:val="2C2C2C"/>
          <w:sz w:val="22"/>
          <w:szCs w:val="22"/>
        </w:rPr>
        <w:t xml:space="preserve">If approved: mark the original ADR as superseded by the new ADR number. Update all affected documents (SAD, DDD, DBP, PDD).</w:t>
      </w:r>
    </w:p>
    <w:p>
      <w:pPr>
        <w:pStyle w:val="ListParagraph"/>
        <w:numPr>
          <w:ilvl w:val="0"/>
          <w:numId w:val="2"/>
        </w:numPr>
        <w:spacing w:after="60" w:before="60"/>
      </w:pPr>
      <w:r>
        <w:rPr>
          <w:rFonts w:ascii="Arial" w:cs="Arial" w:eastAsia="Arial" w:hAnsi="Arial"/>
          <w:color w:val="2C2C2C"/>
          <w:sz w:val="22"/>
          <w:szCs w:val="22"/>
        </w:rPr>
        <w:t xml:space="preserve">If rejected: document the rejection reason in the ADR draft and preserve it for historical reference.</w:t>
      </w:r>
    </w:p>
    <w:p>
      <w:r>
        <w:t xml:space="preserve"/>
      </w:r>
    </w:p>
    <w:p>
      <w:pPr>
        <w:pStyle w:val="Heading2"/>
        <w:spacing w:after="100" w:before="280"/>
      </w:pPr>
      <w:r>
        <w:rPr>
          <w:rFonts w:ascii="Arial" w:cs="Arial" w:eastAsia="Arial" w:hAnsi="Arial"/>
          <w:b/>
          <w:bCs/>
          <w:color w:val="4A6274"/>
          <w:sz w:val="26"/>
          <w:szCs w:val="26"/>
        </w:rPr>
        <w:t xml:space="preserve">What AI Assistants Must Do</w:t>
      </w:r>
    </w:p>
    <w:p>
      <w:pPr>
        <w:pStyle w:val="ListParagraph"/>
        <w:numPr>
          <w:ilvl w:val="0"/>
          <w:numId w:val="3"/>
        </w:numPr>
        <w:spacing w:after="60" w:before="60"/>
      </w:pPr>
      <w:r>
        <w:rPr>
          <w:rFonts w:ascii="Arial" w:cs="Arial" w:eastAsia="Arial" w:hAnsi="Arial"/>
          <w:color w:val="2C2C2C"/>
          <w:sz w:val="22"/>
          <w:szCs w:val="22"/>
        </w:rPr>
        <w:t xml:space="preserve">Read this ADR document before proposing any change to system architecture, module boundaries, routing conventions, session handling, database structure, or naming conventions.</w:t>
      </w:r>
    </w:p>
    <w:p>
      <w:pPr>
        <w:pStyle w:val="ListParagraph"/>
        <w:numPr>
          <w:ilvl w:val="0"/>
          <w:numId w:val="3"/>
        </w:numPr>
        <w:spacing w:after="60" w:before="60"/>
      </w:pPr>
      <w:r>
        <w:rPr>
          <w:rFonts w:ascii="Arial" w:cs="Arial" w:eastAsia="Arial" w:hAnsi="Arial"/>
          <w:color w:val="2C2C2C"/>
          <w:sz w:val="22"/>
          <w:szCs w:val="22"/>
        </w:rPr>
        <w:t xml:space="preserve">If a proposed implementation conflicts with a decision documented here, reference the ADR number and explain why the conflict exists before proposing a workaround.</w:t>
      </w:r>
    </w:p>
    <w:p>
      <w:pPr>
        <w:pStyle w:val="ListParagraph"/>
        <w:numPr>
          <w:ilvl w:val="0"/>
          <w:numId w:val="3"/>
        </w:numPr>
        <w:spacing w:after="60" w:before="60"/>
      </w:pPr>
      <w:r>
        <w:rPr>
          <w:rFonts w:ascii="Arial" w:cs="Arial" w:eastAsia="Arial" w:hAnsi="Arial"/>
          <w:color w:val="2C2C2C"/>
          <w:sz w:val="22"/>
          <w:szCs w:val="22"/>
        </w:rPr>
        <w:t xml:space="preserve">Never implement a workaround to an architectural decision without a new ADR. A workaround that bypasses an architectural decision is a violation of this governance — regardless of how small or temporary it appears.</w:t>
      </w:r>
    </w:p>
    <w:p>
      <w:pPr>
        <w:pStyle w:val="ListParagraph"/>
        <w:numPr>
          <w:ilvl w:val="0"/>
          <w:numId w:val="3"/>
        </w:numPr>
        <w:spacing w:after="60" w:before="60"/>
      </w:pPr>
      <w:r>
        <w:rPr>
          <w:rFonts w:ascii="Arial" w:cs="Arial" w:eastAsia="Arial" w:hAnsi="Arial"/>
          <w:color w:val="2C2C2C"/>
          <w:sz w:val="22"/>
          <w:szCs w:val="22"/>
        </w:rPr>
        <w:t xml:space="preserve">If you cannot find an ADR covering a situation, it means the situation is either covered implicitly by the product principles in PRD v1.1, or it requires a new ADR before proceeding.</w:t>
      </w:r>
    </w:p>
    <w:p>
      <w:r>
        <w:t xml:space="preserve"/>
      </w:r>
    </w:p>
    <w:p>
      <w:pPr>
        <w:pStyle w:val="Heading2"/>
        <w:spacing w:after="100" w:before="280"/>
      </w:pPr>
      <w:r>
        <w:rPr>
          <w:rFonts w:ascii="Arial" w:cs="Arial" w:eastAsia="Arial" w:hAnsi="Arial"/>
          <w:b/>
          <w:bCs/>
          <w:color w:val="4A6274"/>
          <w:sz w:val="26"/>
          <w:szCs w:val="26"/>
        </w:rPr>
        <w:t xml:space="preserve">Decisions That May NEVER Be Changed Without ADR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Decision</w:t>
            </w:r>
          </w:p>
        </w:tc>
        <w:tc>
          <w:tcPr>
            <w:tcW w:type="dxa" w:w="6960"/>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bCs/>
                <w:i w:val="false"/>
                <w:iCs w:val="false"/>
                <w:color w:val="FFFFFF"/>
                <w:sz w:val="20"/>
                <w:szCs w:val="20"/>
              </w:rPr>
              <w:t xml:space="preserve">Original ADR</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Guest Code as the only guest credential — no guest accounts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ADR-006</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One permanent URL for the entire guest journey</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ADR-007</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Themes are products, not page builders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ADR-009</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Offline resilience on the wedding day</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ADR-015</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Setup Mode and Execution Mode are separated</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ADR-016</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Vendor module is not an accounting system</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ADR-012</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Audit log is append-only, INSERT permission only</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ADR-011, ADR-025</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workspace_id on every operational table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ADR-024</w:t>
            </w:r>
          </w:p>
        </w:tc>
      </w:tr>
      <w:tr>
        <w:tc>
          <w:tcPr>
            <w:tcW w:type="dxa" w:w="240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Business logic lives exclusively in Services</w:t>
            </w:r>
          </w:p>
        </w:tc>
        <w:tc>
          <w:tcPr>
            <w:tcW w:type="dxa" w:w="6960"/>
            <w:tcBorders>
              <w:top w:val="single" w:color="C5D5DF" w:sz="1"/>
              <w:left w:val="single" w:color="C5D5DF" w:sz="1"/>
              <w:bottom w:val="single" w:color="C5D5DF" w:sz="1"/>
              <w:right w:val="single" w:color="C5D5DF" w:sz="1"/>
            </w:tcBorders>
            <w:shd w:fill="EAF1F5"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ADR-020</w:t>
            </w:r>
          </w:p>
        </w:tc>
      </w:tr>
      <w:tr>
        <w:tc>
          <w:tcPr>
            <w:tcW w:type="dxa" w:w="240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Views must never access the database</w:t>
            </w:r>
          </w:p>
        </w:tc>
        <w:tc>
          <w:tcPr>
            <w:tcW w:type="dxa" w:w="6960"/>
            <w:tcBorders>
              <w:top w:val="single" w:color="C5D5DF" w:sz="1"/>
              <w:left w:val="single" w:color="C5D5DF" w:sz="1"/>
              <w:bottom w:val="single" w:color="C5D5DF" w:sz="1"/>
              <w:right w:val="single" w:color="C5D5DF" w:sz="1"/>
            </w:tcBorders>
            <w:shd w:fill="FFFFFF"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2C2C2C"/>
                <w:sz w:val="20"/>
                <w:szCs w:val="20"/>
              </w:rPr>
              <w:t xml:space="preserve">ADR-022</w:t>
            </w:r>
          </w:p>
        </w:tc>
      </w:tr>
    </w:tbl>
    <w:p>
      <w:r>
        <w:t xml:space="preserve"/>
      </w:r>
    </w:p>
    <w:p>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Borders>
              <w:top w:val="single" w:color="C5D5DF" w:sz="1"/>
              <w:left w:val="single" w:color="C5D5DF" w:sz="1"/>
              <w:bottom w:val="single" w:color="C5D5DF" w:sz="1"/>
              <w:right w:val="single" w:color="C5D5DF" w:sz="1"/>
            </w:tcBorders>
            <w:shd w:fill="1B3A4B" w:val="clear"/>
            <w:tcMar>
              <w:top w:type="dxa" w:w="100"/>
              <w:left w:type="dxa" w:w="140"/>
              <w:bottom w:type="dxa" w:w="100"/>
              <w:right w:type="dxa" w:w="140"/>
            </w:tcMar>
            <w:vAlign w:val="center"/>
          </w:tcPr>
          <w:p>
            <w:pPr>
              <w:jc w:val="left"/>
            </w:pPr>
            <w:r>
              <w:rPr>
                <w:rFonts w:ascii="Arial" w:cs="Arial" w:eastAsia="Arial" w:hAnsi="Arial"/>
                <w:b w:val="false"/>
                <w:bCs w:val="false"/>
                <w:i w:val="false"/>
                <w:iCs w:val="false"/>
                <w:color w:val="FFFFFF"/>
                <w:sz w:val="22"/>
                <w:szCs w:val="22"/>
              </w:rPr>
              <w:t xml:space="preserve">This document — Architecture Decision Records v1.0 — is the official architectural history of the Inveetaire platform.
25 decisions. 25 explanations. 25 records of what was considered and why it was rejected.
No decision documented here may be changed without a new ADR.
No developer or AI assistant may bypass these decisions in the name of convenience, speed, or preference.
The architecture is frozen. The reasons are recorded. The future is protected.</w:t>
            </w:r>
          </w:p>
        </w:tc>
      </w:tr>
    </w:tbl>
    <w:p>
      <w:r>
        <w:t xml:space="preserve"/>
      </w:r>
    </w:p>
    <w:p>
      <w:pPr>
        <w:pBdr>
          <w:top w:val="single" w:color="C9A84C" w:sz="8" w:space="8"/>
        </w:pBdr>
        <w:spacing w:before="160"/>
        <w:jc w:val="center"/>
      </w:pPr>
      <w:r>
        <w:rPr>
          <w:rFonts w:ascii="Arial" w:cs="Arial" w:eastAsia="Arial" w:hAnsi="Arial"/>
          <w:b/>
          <w:bCs/>
          <w:color w:val="1B3A4B"/>
          <w:sz w:val="24"/>
          <w:szCs w:val="24"/>
        </w:rPr>
        <w:t xml:space="preserve">INVEETAIRE — Architecture Decision Records v1.0</w:t>
      </w:r>
    </w:p>
    <w:p>
      <w:pPr>
        <w:spacing w:before="60"/>
        <w:jc w:val="center"/>
      </w:pPr>
      <w:r>
        <w:rPr>
          <w:rFonts w:ascii="Arial" w:cs="Arial" w:eastAsia="Arial" w:hAnsi="Arial"/>
          <w:i/>
          <w:iCs/>
          <w:color w:val="4A6274"/>
          <w:sz w:val="20"/>
          <w:szCs w:val="20"/>
        </w:rPr>
        <w:t xml:space="preserve">ADR-001 through ADR-025 · 25 Decisions · All Accepted</w:t>
      </w:r>
    </w:p>
    <w:p>
      <w:pPr>
        <w:spacing w:before="60"/>
        <w:jc w:val="center"/>
      </w:pPr>
      <w:r>
        <w:rPr>
          <w:rFonts w:ascii="Arial" w:cs="Arial" w:eastAsia="Arial" w:hAnsi="Arial"/>
          <w:b/>
          <w:bCs/>
          <w:color w:val="C9A84C"/>
          <w:sz w:val="22"/>
          <w:szCs w:val="22"/>
        </w:rPr>
        <w:t xml:space="preserve">Awaiting approval before AI.md is generated.</w:t>
      </w:r>
    </w:p>
    <w:sectPr>
      <w:pgSz w:w="12240" w:h="15840"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C2C2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1B3A4B"/>
      <w:sz w:val="36"/>
      <w:szCs w:val="36"/>
    </w:rPr>
  </w:style>
  <w:style w:type="paragraph" w:styleId="Heading2">
    <w:name w:val="Heading 2"/>
    <w:basedOn w:val="Normal"/>
    <w:next w:val="Normal"/>
    <w:qFormat/>
    <w:pPr>
      <w:spacing w:after="120" w:before="320"/>
      <w:outlineLvl w:val="1"/>
    </w:pPr>
    <w:rPr>
      <w:rFonts w:ascii="Arial" w:cs="Arial" w:eastAsia="Arial" w:hAnsi="Arial"/>
      <w:b/>
      <w:bCs/>
      <w:color w:val="4A6274"/>
      <w:sz w:val="28"/>
      <w:szCs w:val="28"/>
    </w:rPr>
  </w:style>
  <w:style w:type="paragraph" w:styleId="Heading3">
    <w:name w:val="Heading 3"/>
    <w:basedOn w:val="Normal"/>
    <w:next w:val="Normal"/>
    <w:qFormat/>
    <w:pPr>
      <w:spacing w:after="80" w:before="200"/>
      <w:outlineLvl w:val="2"/>
    </w:pPr>
    <w:rPr>
      <w:rFonts w:ascii="Arial" w:cs="Arial" w:eastAsia="Arial" w:hAnsi="Arial"/>
      <w:b/>
      <w:bCs/>
      <w:color w:val="1B3A4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2026-06-28T09:01:23.654Z</dcterms:created>
  <dcterms:modified xsi:type="dcterms:W3CDTF">2026-06-28T09:01:23.667Z</dcterms:modified>
</cp:coreProperties>
</file>

<file path=docProps/custom.xml><?xml version="1.0" encoding="utf-8"?>
<Properties xmlns="http://schemas.openxmlformats.org/officeDocument/2006/custom-properties" xmlns:vt="http://schemas.openxmlformats.org/officeDocument/2006/docPropsVTypes"/>
</file>